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7" w:type="dxa"/>
        <w:jc w:val="center"/>
        <w:tblLayout w:type="fixed"/>
        <w:tblLook w:val="0000" w:firstRow="0" w:lastRow="0" w:firstColumn="0" w:lastColumn="0" w:noHBand="0" w:noVBand="0"/>
      </w:tblPr>
      <w:tblGrid>
        <w:gridCol w:w="3993"/>
        <w:gridCol w:w="5274"/>
      </w:tblGrid>
      <w:tr w:rsidR="00CC624A" w14:paraId="73093721" w14:textId="77777777" w:rsidTr="00F93B39">
        <w:trPr>
          <w:trHeight w:val="1043"/>
          <w:jc w:val="center"/>
        </w:trPr>
        <w:tc>
          <w:tcPr>
            <w:tcW w:w="3993" w:type="dxa"/>
            <w:tcBorders>
              <w:top w:val="nil"/>
              <w:left w:val="nil"/>
              <w:bottom w:val="nil"/>
              <w:right w:val="nil"/>
            </w:tcBorders>
            <w:shd w:val="clear" w:color="000000" w:fill="FFFFFF"/>
          </w:tcPr>
          <w:p w14:paraId="43E617F2" w14:textId="77777777" w:rsidR="00CC624A" w:rsidRPr="00CC624A" w:rsidRDefault="00CC624A" w:rsidP="00CC624A">
            <w:pPr>
              <w:autoSpaceDE w:val="0"/>
              <w:autoSpaceDN w:val="0"/>
              <w:adjustRightInd w:val="0"/>
              <w:spacing w:after="0" w:line="240" w:lineRule="auto"/>
              <w:ind w:left="-57" w:right="-57"/>
              <w:jc w:val="center"/>
              <w:rPr>
                <w:b/>
                <w:bCs/>
                <w:sz w:val="28"/>
                <w:szCs w:val="28"/>
                <w:lang/>
              </w:rPr>
            </w:pPr>
            <w:bookmarkStart w:id="0" w:name="_GoBack"/>
            <w:bookmarkEnd w:id="0"/>
            <w:r w:rsidRPr="00CC624A">
              <w:rPr>
                <w:b/>
                <w:bCs/>
                <w:sz w:val="28"/>
                <w:szCs w:val="28"/>
                <w:lang/>
              </w:rPr>
              <w:t>TỈNH ỦY BẮC GIANG</w:t>
            </w:r>
          </w:p>
          <w:p w14:paraId="6D3183C4" w14:textId="77777777" w:rsidR="00CC624A" w:rsidRPr="00CC624A" w:rsidRDefault="00CC624A" w:rsidP="00CC624A">
            <w:pPr>
              <w:autoSpaceDE w:val="0"/>
              <w:autoSpaceDN w:val="0"/>
              <w:adjustRightInd w:val="0"/>
              <w:spacing w:after="0" w:line="240" w:lineRule="auto"/>
              <w:jc w:val="center"/>
              <w:rPr>
                <w:sz w:val="28"/>
                <w:szCs w:val="28"/>
                <w:lang/>
              </w:rPr>
            </w:pPr>
            <w:r w:rsidRPr="00CC624A">
              <w:rPr>
                <w:sz w:val="28"/>
                <w:szCs w:val="28"/>
                <w:lang/>
              </w:rPr>
              <w:t>*</w:t>
            </w:r>
          </w:p>
          <w:p w14:paraId="1F98E2C7" w14:textId="77777777" w:rsidR="00CC624A" w:rsidRDefault="00CC624A" w:rsidP="00CC624A">
            <w:pPr>
              <w:autoSpaceDE w:val="0"/>
              <w:autoSpaceDN w:val="0"/>
              <w:adjustRightInd w:val="0"/>
              <w:spacing w:after="0" w:line="240" w:lineRule="auto"/>
              <w:jc w:val="center"/>
              <w:rPr>
                <w:sz w:val="28"/>
                <w:szCs w:val="28"/>
                <w:lang/>
              </w:rPr>
            </w:pPr>
            <w:r w:rsidRPr="00CC624A">
              <w:rPr>
                <w:sz w:val="28"/>
                <w:szCs w:val="28"/>
                <w:lang/>
              </w:rPr>
              <w:t xml:space="preserve">Số:    </w:t>
            </w:r>
            <w:r>
              <w:rPr>
                <w:sz w:val="28"/>
                <w:szCs w:val="28"/>
                <w:lang/>
              </w:rPr>
              <w:t xml:space="preserve"> </w:t>
            </w:r>
            <w:r w:rsidRPr="00CC624A">
              <w:rPr>
                <w:sz w:val="28"/>
                <w:szCs w:val="28"/>
                <w:lang/>
              </w:rPr>
              <w:t xml:space="preserve"> </w:t>
            </w:r>
            <w:r w:rsidR="00261B29">
              <w:rPr>
                <w:sz w:val="28"/>
                <w:szCs w:val="28"/>
                <w:lang/>
              </w:rPr>
              <w:t xml:space="preserve"> </w:t>
            </w:r>
            <w:r w:rsidRPr="00CC624A">
              <w:rPr>
                <w:sz w:val="28"/>
                <w:szCs w:val="28"/>
                <w:lang/>
              </w:rPr>
              <w:t xml:space="preserve"> -CT/TU</w:t>
            </w:r>
          </w:p>
          <w:p w14:paraId="4740A769" w14:textId="77777777" w:rsidR="00986F25" w:rsidRPr="00986F25" w:rsidRDefault="00986F25" w:rsidP="00CC624A">
            <w:pPr>
              <w:autoSpaceDE w:val="0"/>
              <w:autoSpaceDN w:val="0"/>
              <w:adjustRightInd w:val="0"/>
              <w:spacing w:after="0" w:line="240" w:lineRule="auto"/>
              <w:jc w:val="center"/>
              <w:rPr>
                <w:rFonts w:ascii="Calibri" w:hAnsi="Calibri" w:cs="Calibri"/>
                <w:b/>
                <w:bCs/>
                <w:sz w:val="22"/>
                <w:lang/>
              </w:rPr>
            </w:pPr>
            <w:r w:rsidRPr="00986F25">
              <w:rPr>
                <w:b/>
                <w:bCs/>
                <w:sz w:val="28"/>
                <w:szCs w:val="28"/>
                <w:lang/>
              </w:rPr>
              <w:t>(DỰ THẢO)</w:t>
            </w:r>
          </w:p>
        </w:tc>
        <w:tc>
          <w:tcPr>
            <w:tcW w:w="5274" w:type="dxa"/>
            <w:tcBorders>
              <w:top w:val="nil"/>
              <w:left w:val="nil"/>
              <w:bottom w:val="nil"/>
              <w:right w:val="nil"/>
            </w:tcBorders>
            <w:shd w:val="clear" w:color="000000" w:fill="FFFFFF"/>
          </w:tcPr>
          <w:p w14:paraId="16634D0D" w14:textId="77777777" w:rsidR="00CC624A" w:rsidRDefault="00CC624A" w:rsidP="00F93B39">
            <w:pPr>
              <w:autoSpaceDE w:val="0"/>
              <w:autoSpaceDN w:val="0"/>
              <w:adjustRightInd w:val="0"/>
              <w:jc w:val="right"/>
              <w:rPr>
                <w:b/>
                <w:bCs/>
                <w:sz w:val="30"/>
                <w:szCs w:val="30"/>
                <w:u w:val="single"/>
                <w:lang/>
              </w:rPr>
            </w:pPr>
            <w:r>
              <w:rPr>
                <w:b/>
                <w:bCs/>
                <w:sz w:val="30"/>
                <w:szCs w:val="30"/>
                <w:u w:val="single"/>
                <w:lang/>
              </w:rPr>
              <w:t>ĐẢNG CỘNG SẢN VIỆT NAM</w:t>
            </w:r>
          </w:p>
          <w:p w14:paraId="7A8FA065" w14:textId="77777777" w:rsidR="00CC624A" w:rsidRPr="00CC624A" w:rsidRDefault="00CC624A" w:rsidP="00F93B39">
            <w:pPr>
              <w:keepNext/>
              <w:autoSpaceDE w:val="0"/>
              <w:autoSpaceDN w:val="0"/>
              <w:adjustRightInd w:val="0"/>
              <w:spacing w:before="120"/>
              <w:jc w:val="right"/>
              <w:rPr>
                <w:rFonts w:ascii="Calibri" w:hAnsi="Calibri" w:cs="Calibri"/>
                <w:sz w:val="28"/>
                <w:szCs w:val="28"/>
                <w:lang/>
              </w:rPr>
            </w:pPr>
            <w:r w:rsidRPr="00CC624A">
              <w:rPr>
                <w:i/>
                <w:iCs/>
                <w:sz w:val="28"/>
                <w:szCs w:val="28"/>
                <w:lang/>
              </w:rPr>
              <w:t xml:space="preserve">Bắc Giang, ngày </w:t>
            </w:r>
            <w:r>
              <w:rPr>
                <w:i/>
                <w:iCs/>
                <w:sz w:val="28"/>
                <w:szCs w:val="28"/>
                <w:lang/>
              </w:rPr>
              <w:t xml:space="preserve"> </w:t>
            </w:r>
            <w:r w:rsidR="00261B29">
              <w:rPr>
                <w:i/>
                <w:iCs/>
                <w:sz w:val="28"/>
                <w:szCs w:val="28"/>
                <w:lang/>
              </w:rPr>
              <w:t xml:space="preserve"> </w:t>
            </w:r>
            <w:r>
              <w:rPr>
                <w:i/>
                <w:iCs/>
                <w:sz w:val="28"/>
                <w:szCs w:val="28"/>
                <w:lang/>
              </w:rPr>
              <w:t xml:space="preserve">   </w:t>
            </w:r>
            <w:r w:rsidRPr="00CC624A">
              <w:rPr>
                <w:i/>
                <w:iCs/>
                <w:sz w:val="28"/>
                <w:szCs w:val="28"/>
                <w:lang/>
              </w:rPr>
              <w:t xml:space="preserve"> tháng </w:t>
            </w:r>
            <w:r>
              <w:rPr>
                <w:i/>
                <w:iCs/>
                <w:sz w:val="28"/>
                <w:szCs w:val="28"/>
                <w:lang/>
              </w:rPr>
              <w:t>6</w:t>
            </w:r>
            <w:r w:rsidRPr="00CC624A">
              <w:rPr>
                <w:i/>
                <w:iCs/>
                <w:sz w:val="28"/>
                <w:szCs w:val="28"/>
                <w:lang/>
              </w:rPr>
              <w:t xml:space="preserve"> năm 20</w:t>
            </w:r>
            <w:r>
              <w:rPr>
                <w:i/>
                <w:iCs/>
                <w:sz w:val="28"/>
                <w:szCs w:val="28"/>
                <w:lang/>
              </w:rPr>
              <w:t>24</w:t>
            </w:r>
          </w:p>
        </w:tc>
      </w:tr>
    </w:tbl>
    <w:p w14:paraId="4394D151" w14:textId="77777777" w:rsidR="0054631A" w:rsidRDefault="0054631A" w:rsidP="00986F25">
      <w:pPr>
        <w:pStyle w:val="NormalWeb"/>
        <w:shd w:val="clear" w:color="auto" w:fill="FFFFFF"/>
        <w:spacing w:before="0" w:beforeAutospacing="0" w:after="0" w:afterAutospacing="0"/>
        <w:ind w:firstLine="709"/>
        <w:jc w:val="both"/>
        <w:rPr>
          <w:sz w:val="28"/>
          <w:szCs w:val="28"/>
        </w:rPr>
      </w:pPr>
    </w:p>
    <w:p w14:paraId="3F2EF2A8" w14:textId="77777777" w:rsidR="00CC624A" w:rsidRDefault="00CC624A" w:rsidP="00986F25">
      <w:pPr>
        <w:autoSpaceDE w:val="0"/>
        <w:autoSpaceDN w:val="0"/>
        <w:adjustRightInd w:val="0"/>
        <w:spacing w:after="0" w:line="240" w:lineRule="auto"/>
        <w:jc w:val="center"/>
        <w:rPr>
          <w:b/>
          <w:bCs/>
          <w:sz w:val="30"/>
          <w:szCs w:val="30"/>
          <w:lang/>
        </w:rPr>
      </w:pPr>
      <w:r>
        <w:rPr>
          <w:b/>
          <w:bCs/>
          <w:sz w:val="30"/>
          <w:szCs w:val="30"/>
          <w:lang/>
        </w:rPr>
        <w:t>CHỈ THỊ</w:t>
      </w:r>
    </w:p>
    <w:p w14:paraId="071FF5E5" w14:textId="77777777" w:rsidR="00E13267" w:rsidRDefault="00CC624A" w:rsidP="00CC624A">
      <w:pPr>
        <w:autoSpaceDE w:val="0"/>
        <w:autoSpaceDN w:val="0"/>
        <w:adjustRightInd w:val="0"/>
        <w:spacing w:after="0" w:line="240" w:lineRule="auto"/>
        <w:jc w:val="center"/>
        <w:rPr>
          <w:b/>
          <w:bCs/>
          <w:sz w:val="28"/>
          <w:szCs w:val="28"/>
          <w:lang/>
        </w:rPr>
      </w:pPr>
      <w:proofErr w:type="gramStart"/>
      <w:r>
        <w:rPr>
          <w:b/>
          <w:bCs/>
          <w:sz w:val="28"/>
          <w:szCs w:val="28"/>
          <w:lang/>
        </w:rPr>
        <w:t>tăng</w:t>
      </w:r>
      <w:proofErr w:type="gramEnd"/>
      <w:r>
        <w:rPr>
          <w:b/>
          <w:bCs/>
          <w:sz w:val="28"/>
          <w:szCs w:val="28"/>
          <w:lang/>
        </w:rPr>
        <w:t xml:space="preserve"> cường công tác quản lý nhà nước về lĩnh vực </w:t>
      </w:r>
      <w:r w:rsidR="00E13267">
        <w:rPr>
          <w:b/>
          <w:bCs/>
          <w:sz w:val="28"/>
          <w:szCs w:val="28"/>
          <w:lang/>
        </w:rPr>
        <w:t xml:space="preserve">địa chất, </w:t>
      </w:r>
      <w:r>
        <w:rPr>
          <w:b/>
          <w:bCs/>
          <w:sz w:val="28"/>
          <w:szCs w:val="28"/>
          <w:lang/>
        </w:rPr>
        <w:t>khoáng sản</w:t>
      </w:r>
    </w:p>
    <w:p w14:paraId="70290404" w14:textId="77777777" w:rsidR="00CC624A" w:rsidRPr="00CC624A" w:rsidRDefault="00CC624A" w:rsidP="00CC624A">
      <w:pPr>
        <w:autoSpaceDE w:val="0"/>
        <w:autoSpaceDN w:val="0"/>
        <w:adjustRightInd w:val="0"/>
        <w:spacing w:after="0" w:line="240" w:lineRule="auto"/>
        <w:jc w:val="center"/>
        <w:rPr>
          <w:b/>
          <w:bCs/>
          <w:sz w:val="28"/>
          <w:szCs w:val="28"/>
          <w:lang w:val="vi-VN"/>
        </w:rPr>
      </w:pPr>
      <w:proofErr w:type="gramStart"/>
      <w:r>
        <w:rPr>
          <w:b/>
          <w:bCs/>
          <w:sz w:val="28"/>
          <w:szCs w:val="28"/>
          <w:lang/>
        </w:rPr>
        <w:t>trên</w:t>
      </w:r>
      <w:proofErr w:type="gramEnd"/>
      <w:r>
        <w:rPr>
          <w:b/>
          <w:bCs/>
          <w:sz w:val="28"/>
          <w:szCs w:val="28"/>
          <w:lang/>
        </w:rPr>
        <w:t xml:space="preserve"> địa bàn tỉnh Bắc Giang</w:t>
      </w:r>
    </w:p>
    <w:p w14:paraId="708C05A3" w14:textId="77777777" w:rsidR="0054631A" w:rsidRDefault="00CC624A" w:rsidP="00CC624A">
      <w:pPr>
        <w:pStyle w:val="NormalWeb"/>
        <w:shd w:val="clear" w:color="auto" w:fill="FFFFFF"/>
        <w:spacing w:before="0" w:beforeAutospacing="0" w:after="0" w:afterAutospacing="0"/>
        <w:jc w:val="center"/>
        <w:rPr>
          <w:sz w:val="28"/>
          <w:szCs w:val="28"/>
        </w:rPr>
      </w:pPr>
      <w:r>
        <w:rPr>
          <w:sz w:val="28"/>
          <w:szCs w:val="28"/>
        </w:rPr>
        <w:t>-------</w:t>
      </w:r>
    </w:p>
    <w:p w14:paraId="46C1258A" w14:textId="77777777" w:rsidR="0054631A" w:rsidRDefault="0054631A" w:rsidP="00CC624A">
      <w:pPr>
        <w:pStyle w:val="NormalWeb"/>
        <w:shd w:val="clear" w:color="auto" w:fill="FFFFFF"/>
        <w:spacing w:before="0" w:beforeAutospacing="0" w:after="0" w:afterAutospacing="0"/>
        <w:ind w:firstLine="709"/>
        <w:jc w:val="both"/>
        <w:rPr>
          <w:sz w:val="28"/>
          <w:szCs w:val="28"/>
        </w:rPr>
      </w:pPr>
    </w:p>
    <w:p w14:paraId="7ACA0B8D" w14:textId="5E880EAA"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Thời gian qua, công tác quản lý nhà nước về</w:t>
      </w:r>
      <w:r w:rsidR="00E13267">
        <w:rPr>
          <w:sz w:val="28"/>
          <w:szCs w:val="28"/>
        </w:rPr>
        <w:t xml:space="preserve"> lĩnh vực địa chất,</w:t>
      </w:r>
      <w:r w:rsidRPr="0054631A">
        <w:rPr>
          <w:sz w:val="28"/>
          <w:szCs w:val="28"/>
        </w:rPr>
        <w:t xml:space="preserve"> khoáng sản trên địa bàn tỉnh được các cấp uỷ, tổ chức đảng, chính quyền</w:t>
      </w:r>
      <w:r w:rsidR="00261B29">
        <w:rPr>
          <w:sz w:val="28"/>
          <w:szCs w:val="28"/>
        </w:rPr>
        <w:t>, các sở, ban, ngành, Mặt trận Tổ quốc, các tổ chức chính trị- xã hội trong tỉnh đã tập trung</w:t>
      </w:r>
      <w:r w:rsidRPr="0054631A">
        <w:rPr>
          <w:sz w:val="28"/>
          <w:szCs w:val="28"/>
        </w:rPr>
        <w:t xml:space="preserve"> quan tâm lãnh đạo, chỉ đạo thực hiện và đạt được những kết quả tích cực. </w:t>
      </w:r>
      <w:proofErr w:type="gramStart"/>
      <w:r w:rsidRPr="0054631A">
        <w:rPr>
          <w:sz w:val="28"/>
          <w:szCs w:val="28"/>
        </w:rPr>
        <w:t xml:space="preserve">Quản lý nhà nước về </w:t>
      </w:r>
      <w:r w:rsidR="00E13267">
        <w:rPr>
          <w:sz w:val="28"/>
          <w:szCs w:val="28"/>
        </w:rPr>
        <w:t xml:space="preserve">địa chất, </w:t>
      </w:r>
      <w:r w:rsidRPr="0054631A">
        <w:rPr>
          <w:sz w:val="28"/>
          <w:szCs w:val="28"/>
        </w:rPr>
        <w:t>khoáng sản trên địa bàn tỉnh dần đi vào nền nếp.</w:t>
      </w:r>
      <w:proofErr w:type="gramEnd"/>
      <w:r w:rsidRPr="0054631A">
        <w:rPr>
          <w:sz w:val="28"/>
          <w:szCs w:val="28"/>
        </w:rPr>
        <w:t xml:space="preserve"> Hoạt động khai thác khoáng sản đã đóng góp quan trọng vào phát triển kinh tế chung của tỉnh, nhất là đáp ứng nguyên vật liệu phục vụ hạ tầng kỹ thuật cho các dự án </w:t>
      </w:r>
      <w:r w:rsidR="000B5F0B">
        <w:rPr>
          <w:sz w:val="28"/>
          <w:szCs w:val="28"/>
        </w:rPr>
        <w:t>phát triển kinh tế- xã hội của tỉnh</w:t>
      </w:r>
      <w:r w:rsidRPr="0054631A">
        <w:rPr>
          <w:sz w:val="28"/>
          <w:szCs w:val="28"/>
        </w:rPr>
        <w:t xml:space="preserve">, </w:t>
      </w:r>
      <w:r w:rsidR="000B5F0B">
        <w:rPr>
          <w:sz w:val="28"/>
          <w:szCs w:val="28"/>
        </w:rPr>
        <w:t xml:space="preserve">đảm bảo quốc phòng, an ninh, </w:t>
      </w:r>
      <w:r w:rsidRPr="0054631A">
        <w:rPr>
          <w:sz w:val="28"/>
          <w:szCs w:val="28"/>
        </w:rPr>
        <w:t xml:space="preserve">tăng thu ngân sách, giải quyết </w:t>
      </w:r>
      <w:proofErr w:type="gramStart"/>
      <w:r w:rsidRPr="0054631A">
        <w:rPr>
          <w:sz w:val="28"/>
          <w:szCs w:val="28"/>
        </w:rPr>
        <w:t>việc</w:t>
      </w:r>
      <w:proofErr w:type="gramEnd"/>
      <w:r w:rsidRPr="0054631A">
        <w:rPr>
          <w:sz w:val="28"/>
          <w:szCs w:val="28"/>
        </w:rPr>
        <w:t xml:space="preserve"> làm cho người dân.</w:t>
      </w:r>
    </w:p>
    <w:p w14:paraId="342A1A0F" w14:textId="67989EE5"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proofErr w:type="gramStart"/>
      <w:r w:rsidRPr="0054631A">
        <w:rPr>
          <w:sz w:val="28"/>
          <w:szCs w:val="28"/>
        </w:rPr>
        <w:t xml:space="preserve">Tuy nhiên, công tác quản lý nhà nước về </w:t>
      </w:r>
      <w:r w:rsidR="00E13267">
        <w:rPr>
          <w:sz w:val="28"/>
          <w:szCs w:val="28"/>
        </w:rPr>
        <w:t xml:space="preserve">địa chất, </w:t>
      </w:r>
      <w:r w:rsidRPr="0054631A">
        <w:rPr>
          <w:sz w:val="28"/>
          <w:szCs w:val="28"/>
        </w:rPr>
        <w:t>khoáng sản còn nhiều hạn chế, chưa đáp ứng yêu cầu phát triển trong giai đoạn mới.</w:t>
      </w:r>
      <w:proofErr w:type="gramEnd"/>
      <w:r w:rsidRPr="0054631A">
        <w:rPr>
          <w:sz w:val="28"/>
          <w:szCs w:val="28"/>
        </w:rPr>
        <w:t xml:space="preserve"> Nhận thức của một số cấp ủy, tổ chức đảng, chính quyền, cán bộ, đảng viên và người dân về quản lý, bảo vệ khoáng sản chưa đầy đủ. Tình trạng vi phạm pháp luật trong hoạt động khoáng sản gây ô nhiễm môi trường, thất thoát tài nguyên khoáng sản, thất thu ngân sách, ảnh hưởng đến an ninh, trật tự… vẫn tiếp tục diễn ra phức tạp. Công tác quy hoạch, tổ chức thực hiện quy hoạch khoáng sản còn bất cập; </w:t>
      </w:r>
      <w:r w:rsidR="006502E4">
        <w:rPr>
          <w:sz w:val="28"/>
          <w:szCs w:val="28"/>
        </w:rPr>
        <w:t xml:space="preserve">công tác </w:t>
      </w:r>
      <w:r w:rsidRPr="0054631A">
        <w:rPr>
          <w:sz w:val="28"/>
          <w:szCs w:val="28"/>
        </w:rPr>
        <w:t>thanh tra, kiểm tra, xử lý vi phạm hoạt động khoáng sản chưa thường xuyên, kịp thời; việc phối hợp giữa các cấp, các ngành có lúc, có nơi thiếu chặt chẽ và đồng bộ.</w:t>
      </w:r>
    </w:p>
    <w:p w14:paraId="4E367269"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Để sớm khắc phục những hạn chế, yếu kém nêu trên, đồng thời tạo chuyển biến tích cực về nhận thức, trách nhiệm của hệ thống chính trị, cán bộ, đảng viên và nhân dân trong quản lý, bảo vệ khoáng sản chưa khai thác; ngăn chặn hiệu quả tình trạng vi phạm pháp luật trong hoạt động khai thác, chế biến, kinh doanh, vận chuyển khoáng sản, Ban Thường vụ Tỉnh ủy yêu cầu các cấp ủy, tổ chức đảng, chính quyền, Mặt trận Tổ quốc, tổ chức chính trị - xã hội, đoàn thể nhân dân quán triệt và thực hiện nghiêm túc các nhiệm vụ, giải pháp sau:</w:t>
      </w:r>
    </w:p>
    <w:p w14:paraId="19D0127E" w14:textId="77777777" w:rsidR="000B5F0B" w:rsidRPr="00261B29" w:rsidRDefault="0054631A" w:rsidP="00E13267">
      <w:pPr>
        <w:pStyle w:val="NormalWeb"/>
        <w:shd w:val="clear" w:color="auto" w:fill="FFFFFF"/>
        <w:spacing w:before="120" w:beforeAutospacing="0" w:after="0" w:afterAutospacing="0" w:line="264" w:lineRule="auto"/>
        <w:ind w:firstLine="709"/>
        <w:jc w:val="both"/>
        <w:rPr>
          <w:sz w:val="28"/>
          <w:szCs w:val="28"/>
        </w:rPr>
      </w:pPr>
      <w:r w:rsidRPr="00261B29">
        <w:rPr>
          <w:rStyle w:val="Strong"/>
          <w:sz w:val="28"/>
          <w:szCs w:val="28"/>
        </w:rPr>
        <w:t>1</w:t>
      </w:r>
      <w:r w:rsidR="005B54D8" w:rsidRPr="00261B29">
        <w:rPr>
          <w:rStyle w:val="Strong"/>
          <w:sz w:val="28"/>
          <w:szCs w:val="28"/>
        </w:rPr>
        <w:t>-</w:t>
      </w:r>
      <w:r w:rsidRPr="00261B29">
        <w:rPr>
          <w:sz w:val="28"/>
          <w:szCs w:val="28"/>
        </w:rPr>
        <w:t> Tiếp tục quán triệt sâu sắc và tổ chức thực hiện nghiêm túc, hiệu quả chủ trương của Đảng, chính sách, pháp luật của Nhà nước về</w:t>
      </w:r>
      <w:r w:rsidR="00E13267">
        <w:rPr>
          <w:sz w:val="28"/>
          <w:szCs w:val="28"/>
        </w:rPr>
        <w:t xml:space="preserve"> địa chất,</w:t>
      </w:r>
      <w:r w:rsidRPr="00261B29">
        <w:rPr>
          <w:sz w:val="28"/>
          <w:szCs w:val="28"/>
        </w:rPr>
        <w:t xml:space="preserve"> khoáng sản, nhất là Nghị quyết số 10-NQ/TW ngày 10/02/2022 của Bộ Chính trị về định hướng chiến lược địa chất, khoáng sản và công nghiệp khai khoáng đến năm </w:t>
      </w:r>
      <w:r w:rsidRPr="00261B29">
        <w:rPr>
          <w:sz w:val="28"/>
          <w:szCs w:val="28"/>
        </w:rPr>
        <w:lastRenderedPageBreak/>
        <w:t xml:space="preserve">2030, tầm nhìn đến năm 2045; Nghị quyết số 88/NQ-CP, ngày 22/7/2022 của Chính phủ về chương trình hành động thực hiện Nghị quyết số 10-NQ/TW; </w:t>
      </w:r>
      <w:r w:rsidR="0087295E" w:rsidRPr="00261B29">
        <w:rPr>
          <w:color w:val="000000"/>
          <w:sz w:val="28"/>
          <w:szCs w:val="28"/>
        </w:rPr>
        <w:t>Quyết định số 334/QĐ-TTg ngày</w:t>
      </w:r>
      <w:r w:rsidR="00E13267">
        <w:rPr>
          <w:color w:val="000000"/>
          <w:sz w:val="28"/>
          <w:szCs w:val="28"/>
        </w:rPr>
        <w:t xml:space="preserve"> </w:t>
      </w:r>
      <w:r w:rsidR="0087295E" w:rsidRPr="00261B29">
        <w:rPr>
          <w:color w:val="000000"/>
          <w:sz w:val="28"/>
          <w:szCs w:val="28"/>
        </w:rPr>
        <w:t xml:space="preserve">01/4/2023 của Thủ tướng Chính phủ phê duyệt </w:t>
      </w:r>
      <w:r w:rsidR="0087295E" w:rsidRPr="00261B29">
        <w:rPr>
          <w:color w:val="000000"/>
          <w:sz w:val="28"/>
          <w:szCs w:val="28"/>
          <w:lang w:val="vi-VN"/>
        </w:rPr>
        <w:t>chiến lược địa chất, khoáng sản và công nghiệp khai khoáng đến năm 2030, tầm nhìn đến năm 2045</w:t>
      </w:r>
      <w:r w:rsidR="0087295E" w:rsidRPr="00261B29">
        <w:rPr>
          <w:color w:val="000000"/>
          <w:sz w:val="28"/>
          <w:szCs w:val="28"/>
        </w:rPr>
        <w:t xml:space="preserve">; </w:t>
      </w:r>
      <w:r w:rsidRPr="00261B29">
        <w:rPr>
          <w:sz w:val="28"/>
          <w:szCs w:val="28"/>
        </w:rPr>
        <w:t xml:space="preserve">Chỉ thị số 38-CT/TTg ngày 29/9/2020 của Thủ tướng Chính phủ về tiếp tục tăng cường công tác quản lý nhà nước đối với hoạt động thăm dò, khai thác, chế biến, sử dụng và xuất khẩu khoáng sản. </w:t>
      </w:r>
    </w:p>
    <w:p w14:paraId="5E623846"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proofErr w:type="gramStart"/>
      <w:r w:rsidRPr="0054631A">
        <w:rPr>
          <w:sz w:val="28"/>
          <w:szCs w:val="28"/>
        </w:rPr>
        <w:t>Đa dạng hóa các hình thức tuyên truyền, giáo dục, tạo sự chuyển biến mạnh mẽ về nhận thức, ý thức, trách nhiệm của cán bộ, đảng viên, doanh nghiệp và nhân dân.</w:t>
      </w:r>
      <w:proofErr w:type="gramEnd"/>
      <w:r w:rsidRPr="0054631A">
        <w:rPr>
          <w:sz w:val="28"/>
          <w:szCs w:val="28"/>
        </w:rPr>
        <w:t xml:space="preserve"> Nâng cao vai trò lãnh đạo của Đảng, hiệu lực, hiệu quả quản lý của Nhà nước, trách nhiệm của cả hệ thống chính trị, trước hết là trách nhiệm của cấp ủy, chính quyền các cấp, người đứng đầu đối với lĩnh vực </w:t>
      </w:r>
      <w:r w:rsidR="00E13267">
        <w:rPr>
          <w:sz w:val="28"/>
          <w:szCs w:val="28"/>
        </w:rPr>
        <w:t xml:space="preserve">địa chất, </w:t>
      </w:r>
      <w:r w:rsidRPr="0054631A">
        <w:rPr>
          <w:sz w:val="28"/>
          <w:szCs w:val="28"/>
        </w:rPr>
        <w:t>khoáng sản trên địa bàn.</w:t>
      </w:r>
    </w:p>
    <w:p w14:paraId="7915C0B9" w14:textId="77777777" w:rsidR="0054631A" w:rsidRPr="003068D4" w:rsidRDefault="0054631A" w:rsidP="00261B29">
      <w:pPr>
        <w:pStyle w:val="NormalWeb"/>
        <w:shd w:val="clear" w:color="auto" w:fill="FFFFFF"/>
        <w:spacing w:before="120" w:beforeAutospacing="0" w:after="0" w:afterAutospacing="0" w:line="264" w:lineRule="auto"/>
        <w:ind w:firstLine="709"/>
        <w:jc w:val="both"/>
        <w:rPr>
          <w:sz w:val="28"/>
          <w:szCs w:val="28"/>
        </w:rPr>
      </w:pPr>
      <w:r w:rsidRPr="003068D4">
        <w:rPr>
          <w:rStyle w:val="Strong"/>
          <w:sz w:val="28"/>
          <w:szCs w:val="28"/>
        </w:rPr>
        <w:t>2</w:t>
      </w:r>
      <w:r w:rsidR="005B54D8">
        <w:rPr>
          <w:rStyle w:val="Strong"/>
          <w:sz w:val="28"/>
          <w:szCs w:val="28"/>
        </w:rPr>
        <w:t>-</w:t>
      </w:r>
      <w:r w:rsidRPr="003068D4">
        <w:rPr>
          <w:sz w:val="28"/>
          <w:szCs w:val="28"/>
        </w:rPr>
        <w:t> Rà soát, sửa đổi, bổ sung, xây dựng các quy chế, quy định, cơ chế, chính sách, thủ tục hành chính thuộc thẩm quyền, trách nhiệm của tỉnh phù hợp với các quy định của Trung ương và tình hình thực tế</w:t>
      </w:r>
      <w:r w:rsidR="00AB7B0D">
        <w:rPr>
          <w:sz w:val="28"/>
          <w:szCs w:val="28"/>
        </w:rPr>
        <w:t xml:space="preserve"> của tỉnh</w:t>
      </w:r>
      <w:r w:rsidRPr="003068D4">
        <w:rPr>
          <w:sz w:val="28"/>
          <w:szCs w:val="28"/>
        </w:rPr>
        <w:t xml:space="preserve">. </w:t>
      </w:r>
      <w:r w:rsidR="00306630" w:rsidRPr="003068D4">
        <w:rPr>
          <w:sz w:val="28"/>
          <w:szCs w:val="28"/>
        </w:rPr>
        <w:t>T</w:t>
      </w:r>
      <w:r w:rsidRPr="003068D4">
        <w:rPr>
          <w:sz w:val="28"/>
          <w:szCs w:val="28"/>
        </w:rPr>
        <w:t>riệt để cải cách thủ tục hành chính</w:t>
      </w:r>
      <w:r w:rsidR="00306630" w:rsidRPr="003068D4">
        <w:rPr>
          <w:sz w:val="28"/>
          <w:szCs w:val="28"/>
        </w:rPr>
        <w:t xml:space="preserve"> về lĩnh vực </w:t>
      </w:r>
      <w:r w:rsidR="00E13267">
        <w:rPr>
          <w:sz w:val="28"/>
          <w:szCs w:val="28"/>
        </w:rPr>
        <w:t>địa chất,</w:t>
      </w:r>
      <w:r w:rsidR="00306630" w:rsidRPr="003068D4">
        <w:rPr>
          <w:sz w:val="28"/>
          <w:szCs w:val="28"/>
        </w:rPr>
        <w:t xml:space="preserve"> khoáng sản theo hướng công khai, minh bạch, thuận tiện, rút ngắn thời gian thực hiện</w:t>
      </w:r>
      <w:r w:rsidR="003068D4" w:rsidRPr="003068D4">
        <w:rPr>
          <w:sz w:val="28"/>
          <w:szCs w:val="28"/>
        </w:rPr>
        <w:t>, gắn với đẩy mạnh phân cấp, ủy quyền, tăng cường trách nhiệm của người đứng đầu các cơ quan, đơn vị, địa phương trong công tác quản lý nhà nước và thực hiện các quy trình, thủ tục về thăm dò, khai thác tài nguyên khoáng sản</w:t>
      </w:r>
      <w:r w:rsidR="003068D4">
        <w:rPr>
          <w:sz w:val="28"/>
          <w:szCs w:val="28"/>
        </w:rPr>
        <w:t xml:space="preserve">. </w:t>
      </w:r>
      <w:proofErr w:type="gramStart"/>
      <w:r w:rsidR="003068D4">
        <w:rPr>
          <w:sz w:val="28"/>
          <w:szCs w:val="28"/>
        </w:rPr>
        <w:t>Đ</w:t>
      </w:r>
      <w:r w:rsidR="00306630" w:rsidRPr="003068D4">
        <w:rPr>
          <w:sz w:val="28"/>
          <w:szCs w:val="28"/>
        </w:rPr>
        <w:t xml:space="preserve">ẩy mạnh ứng dụng công nghệ thông tin trong xử lý công việc, </w:t>
      </w:r>
      <w:r w:rsidRPr="003068D4">
        <w:rPr>
          <w:sz w:val="28"/>
          <w:szCs w:val="28"/>
        </w:rPr>
        <w:t>tránh phiền hà cho người dân và doanh nghiệp.</w:t>
      </w:r>
      <w:proofErr w:type="gramEnd"/>
    </w:p>
    <w:p w14:paraId="528F7D9B" w14:textId="77777777" w:rsidR="0054631A" w:rsidRPr="005B54D8" w:rsidRDefault="0054631A" w:rsidP="00261B29">
      <w:pPr>
        <w:pStyle w:val="NormalWeb"/>
        <w:shd w:val="clear" w:color="auto" w:fill="FFFFFF"/>
        <w:spacing w:before="120" w:beforeAutospacing="0" w:after="0" w:afterAutospacing="0" w:line="264" w:lineRule="auto"/>
        <w:ind w:firstLine="709"/>
        <w:jc w:val="both"/>
        <w:rPr>
          <w:sz w:val="28"/>
          <w:szCs w:val="28"/>
        </w:rPr>
      </w:pPr>
      <w:r w:rsidRPr="005B54D8">
        <w:rPr>
          <w:rStyle w:val="Strong"/>
          <w:sz w:val="28"/>
          <w:szCs w:val="28"/>
        </w:rPr>
        <w:t>3</w:t>
      </w:r>
      <w:r w:rsidR="005B54D8" w:rsidRPr="005B54D8">
        <w:rPr>
          <w:rStyle w:val="Strong"/>
          <w:sz w:val="28"/>
          <w:szCs w:val="28"/>
        </w:rPr>
        <w:t>-</w:t>
      </w:r>
      <w:r w:rsidRPr="005B54D8">
        <w:rPr>
          <w:sz w:val="28"/>
          <w:szCs w:val="28"/>
        </w:rPr>
        <w:t xml:space="preserve"> Tập trung lãnh đạo, chỉ đạo công tác lập, triển khai thực hiện </w:t>
      </w:r>
      <w:r w:rsidR="00306630" w:rsidRPr="005B54D8">
        <w:rPr>
          <w:sz w:val="28"/>
          <w:szCs w:val="28"/>
        </w:rPr>
        <w:t>phương án</w:t>
      </w:r>
      <w:r w:rsidRPr="005B54D8">
        <w:rPr>
          <w:sz w:val="28"/>
          <w:szCs w:val="28"/>
        </w:rPr>
        <w:t xml:space="preserve"> thăm dò, khai thác, sử dụng và bảo vệ tài nguyên, môi trường trong hoạt động khoáng sản tỉnh </w:t>
      </w:r>
      <w:r w:rsidR="00937DD6" w:rsidRPr="005B54D8">
        <w:rPr>
          <w:sz w:val="28"/>
          <w:szCs w:val="28"/>
        </w:rPr>
        <w:t>Bắc Giang</w:t>
      </w:r>
      <w:r w:rsidRPr="005B54D8">
        <w:rPr>
          <w:sz w:val="28"/>
          <w:szCs w:val="28"/>
        </w:rPr>
        <w:t xml:space="preserve"> thời kỳ 2021- 2030, tầm nhìn đến 2050. Bảo đảm nguyên vật liệu phục vụ nhu cầu phát triển </w:t>
      </w:r>
      <w:r w:rsidR="000B5F0B" w:rsidRPr="005B54D8">
        <w:rPr>
          <w:sz w:val="28"/>
          <w:szCs w:val="28"/>
        </w:rPr>
        <w:t>kinh tế- xã hội của tỉnh</w:t>
      </w:r>
      <w:r w:rsidRPr="005B54D8">
        <w:rPr>
          <w:sz w:val="28"/>
          <w:szCs w:val="28"/>
        </w:rPr>
        <w:t xml:space="preserve">; tăng cường quản lý, bảo vệ khoáng sản chưa khai thác. </w:t>
      </w:r>
      <w:proofErr w:type="gramStart"/>
      <w:r w:rsidRPr="005B54D8">
        <w:rPr>
          <w:sz w:val="28"/>
          <w:szCs w:val="28"/>
        </w:rPr>
        <w:t>Đến năm 20</w:t>
      </w:r>
      <w:r w:rsidR="003068D4" w:rsidRPr="005B54D8">
        <w:rPr>
          <w:sz w:val="28"/>
          <w:szCs w:val="28"/>
        </w:rPr>
        <w:t>28</w:t>
      </w:r>
      <w:r w:rsidRPr="005B54D8">
        <w:rPr>
          <w:sz w:val="28"/>
          <w:szCs w:val="28"/>
        </w:rPr>
        <w:t>, hoàn thành hệ thống cơ sở dữ liệu, thông tin về địa chất, khoáng sản đồng bộ, tích hợp với cơ sở dữ liệu quốc gia.</w:t>
      </w:r>
      <w:proofErr w:type="gramEnd"/>
    </w:p>
    <w:p w14:paraId="65D27BA6" w14:textId="77777777" w:rsidR="00937DD6"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rStyle w:val="Strong"/>
          <w:sz w:val="28"/>
          <w:szCs w:val="28"/>
        </w:rPr>
        <w:t>4</w:t>
      </w:r>
      <w:r w:rsidR="005B54D8">
        <w:rPr>
          <w:rStyle w:val="Strong"/>
          <w:sz w:val="28"/>
          <w:szCs w:val="28"/>
        </w:rPr>
        <w:t>-</w:t>
      </w:r>
      <w:r w:rsidRPr="0054631A">
        <w:rPr>
          <w:sz w:val="28"/>
          <w:szCs w:val="28"/>
        </w:rPr>
        <w:t xml:space="preserve"> Người đứng đầu cấp ủy, chính quyền, thủ trưởng các cơ quan, đơn vị được giao nhiệm vụ quản lý </w:t>
      </w:r>
      <w:r w:rsidR="00E13267">
        <w:rPr>
          <w:sz w:val="28"/>
          <w:szCs w:val="28"/>
        </w:rPr>
        <w:t xml:space="preserve">địa chất, </w:t>
      </w:r>
      <w:r w:rsidRPr="0054631A">
        <w:rPr>
          <w:sz w:val="28"/>
          <w:szCs w:val="28"/>
        </w:rPr>
        <w:t xml:space="preserve">khoáng sản phải chủ động nắm chắc tình hình, tập trung lãnh đạo, chỉ đạo thực hiện tốt công tác quản lý nhà nước về </w:t>
      </w:r>
      <w:r w:rsidR="00E13267">
        <w:rPr>
          <w:sz w:val="28"/>
          <w:szCs w:val="28"/>
        </w:rPr>
        <w:t xml:space="preserve">địa chất, </w:t>
      </w:r>
      <w:r w:rsidRPr="0054631A">
        <w:rPr>
          <w:sz w:val="28"/>
          <w:szCs w:val="28"/>
        </w:rPr>
        <w:t xml:space="preserve">khoáng sản, bảo đảm an ninh, trật tự. Nâng cao vai trò, trách nhiệm quản lý để mọi hành </w:t>
      </w:r>
      <w:proofErr w:type="gramStart"/>
      <w:r w:rsidRPr="0054631A">
        <w:rPr>
          <w:sz w:val="28"/>
          <w:szCs w:val="28"/>
        </w:rPr>
        <w:t>vi</w:t>
      </w:r>
      <w:proofErr w:type="gramEnd"/>
      <w:r w:rsidRPr="0054631A">
        <w:rPr>
          <w:sz w:val="28"/>
          <w:szCs w:val="28"/>
        </w:rPr>
        <w:t xml:space="preserve"> vi phạm pháp luật về khoáng sản phải được phát hiện sớm, ngăn chặn, xử lý kịp thời</w:t>
      </w:r>
      <w:r w:rsidR="00AB7B0D">
        <w:rPr>
          <w:sz w:val="28"/>
          <w:szCs w:val="28"/>
        </w:rPr>
        <w:t xml:space="preserve">.  </w:t>
      </w:r>
      <w:r w:rsidR="00AB7B0D" w:rsidRPr="0054631A">
        <w:rPr>
          <w:sz w:val="28"/>
          <w:szCs w:val="28"/>
        </w:rPr>
        <w:t>Kiên quyết xử lý nghiêm minh</w:t>
      </w:r>
      <w:r w:rsidR="00AB7B0D">
        <w:rPr>
          <w:sz w:val="28"/>
          <w:szCs w:val="28"/>
        </w:rPr>
        <w:t xml:space="preserve"> các trường hợp sai phạm, nhũng nhiễu, quan liêu, thiếu trách nhiệm trong thực hiện chức trách, nhiệm vụ được giao </w:t>
      </w:r>
      <w:r w:rsidRPr="0054631A">
        <w:rPr>
          <w:sz w:val="28"/>
          <w:szCs w:val="28"/>
        </w:rPr>
        <w:t>theo đúng quy định Đảng, pháp luật của Nhà nước đối với cấp ủy, tổ chức đảng, cơ quan, đơn vị, địa phương, cán bộ, đảng viên</w:t>
      </w:r>
      <w:r w:rsidR="00AB7B0D">
        <w:rPr>
          <w:sz w:val="28"/>
          <w:szCs w:val="28"/>
        </w:rPr>
        <w:t>;</w:t>
      </w:r>
      <w:r w:rsidRPr="0054631A">
        <w:rPr>
          <w:sz w:val="28"/>
          <w:szCs w:val="28"/>
        </w:rPr>
        <w:t xml:space="preserve"> nhất là người đứng đầu buông lỏng lãnh đạo, quản lý, lợi dụng chức vụ, vị trí công tác để trục lợi, vụ </w:t>
      </w:r>
      <w:r w:rsidRPr="0054631A">
        <w:rPr>
          <w:sz w:val="28"/>
          <w:szCs w:val="28"/>
        </w:rPr>
        <w:lastRenderedPageBreak/>
        <w:t xml:space="preserve">lợi cho bản thân hoặc bao che, tiếp tay, can thiệp, tác động dưới mọi hình thức để người khác thực hiện các hành vi vi phạm pháp luật về khoáng sản, để xảy ra vi phạm hoặc không cương quyết xử lý sau khi phát hiện vi phạm về </w:t>
      </w:r>
      <w:r w:rsidR="00E13267">
        <w:rPr>
          <w:sz w:val="28"/>
          <w:szCs w:val="28"/>
        </w:rPr>
        <w:t xml:space="preserve">địa chất, </w:t>
      </w:r>
      <w:r w:rsidRPr="0054631A">
        <w:rPr>
          <w:sz w:val="28"/>
          <w:szCs w:val="28"/>
        </w:rPr>
        <w:t xml:space="preserve">khoáng sản trên địa bàn. </w:t>
      </w:r>
    </w:p>
    <w:p w14:paraId="56DE6F10" w14:textId="77777777" w:rsid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rStyle w:val="Strong"/>
          <w:sz w:val="28"/>
          <w:szCs w:val="28"/>
        </w:rPr>
        <w:t>5</w:t>
      </w:r>
      <w:r w:rsidR="005B54D8">
        <w:rPr>
          <w:rStyle w:val="Strong"/>
          <w:sz w:val="28"/>
          <w:szCs w:val="28"/>
        </w:rPr>
        <w:t>-</w:t>
      </w:r>
      <w:r w:rsidRPr="0054631A">
        <w:rPr>
          <w:sz w:val="28"/>
          <w:szCs w:val="28"/>
        </w:rPr>
        <w:t> Tăng cường công tác thanh tra, kiểm tra</w:t>
      </w:r>
      <w:r w:rsidR="005B54D8">
        <w:rPr>
          <w:sz w:val="28"/>
          <w:szCs w:val="28"/>
        </w:rPr>
        <w:t>, giám sát</w:t>
      </w:r>
      <w:r w:rsidRPr="0054631A">
        <w:rPr>
          <w:sz w:val="28"/>
          <w:szCs w:val="28"/>
        </w:rPr>
        <w:t xml:space="preserve"> </w:t>
      </w:r>
      <w:r w:rsidR="00AB7B0D">
        <w:rPr>
          <w:sz w:val="28"/>
          <w:szCs w:val="28"/>
        </w:rPr>
        <w:t xml:space="preserve">việc quản lý, </w:t>
      </w:r>
      <w:r w:rsidRPr="0054631A">
        <w:rPr>
          <w:sz w:val="28"/>
          <w:szCs w:val="28"/>
        </w:rPr>
        <w:t>hoạt động</w:t>
      </w:r>
      <w:r w:rsidR="00E13267">
        <w:rPr>
          <w:sz w:val="28"/>
          <w:szCs w:val="28"/>
        </w:rPr>
        <w:t xml:space="preserve"> địa chất,</w:t>
      </w:r>
      <w:r w:rsidRPr="0054631A">
        <w:rPr>
          <w:sz w:val="28"/>
          <w:szCs w:val="28"/>
        </w:rPr>
        <w:t xml:space="preserve"> khoáng sản. Triển khai thực hiện đồng bộ các giải pháp quản lý thuế</w:t>
      </w:r>
      <w:r w:rsidR="005B54D8">
        <w:rPr>
          <w:sz w:val="28"/>
          <w:szCs w:val="28"/>
        </w:rPr>
        <w:t>; đ</w:t>
      </w:r>
      <w:r w:rsidRPr="0054631A">
        <w:rPr>
          <w:sz w:val="28"/>
          <w:szCs w:val="28"/>
        </w:rPr>
        <w:t>ấu tranh chống các hành vi trốn thuế, gian lận thuế, phí; khai thác khi chưa hoàn thành thủ tục, khai thác vượt công suất, khai thác vượt ra ngoài ranh giới khu vực được phép khai thác. Kiên quyết đình chỉ hoạt động, tước quyền sử dụng hoặc thu hồi giấy phép, đóng cửa mỏ, cải tạo, phục hồi môi trường đối với những khu vực khai thác không hiệu quả, gây ô nhiễm môi trường theo quy định của pháp luật; xử lý nghiêm hoạt động khai thác, vận chuyển, buôn bán, xuất khẩu khoáng sản trái phép; rà soát, kiểm tra công tác đóng cửa mỏ đối với các giấy phép khai thác khoáng sản đã chấm dứt hiệu lực theo quy định.</w:t>
      </w:r>
      <w:r w:rsidR="00AB7B0D">
        <w:rPr>
          <w:sz w:val="28"/>
          <w:szCs w:val="28"/>
        </w:rPr>
        <w:t xml:space="preserve"> Tập trung giải quyết dứt điểm đơn thư, khiếu nại, tố cáo thuộc thẩm quyền, không để xảy ra các trường hợp khiếu nại, tố cáo vượt cấp, đông người, bảo vệ quyền lợi của người dân, doanh nghiệp theo quy định.</w:t>
      </w:r>
    </w:p>
    <w:p w14:paraId="2E5797E6" w14:textId="77777777" w:rsidR="00306630" w:rsidRPr="0054631A" w:rsidRDefault="00306630" w:rsidP="00261B29">
      <w:pPr>
        <w:pStyle w:val="NormalWeb"/>
        <w:shd w:val="clear" w:color="auto" w:fill="FFFFFF"/>
        <w:spacing w:before="120" w:beforeAutospacing="0" w:after="0" w:afterAutospacing="0" w:line="264" w:lineRule="auto"/>
        <w:ind w:firstLine="709"/>
        <w:jc w:val="both"/>
        <w:rPr>
          <w:sz w:val="28"/>
          <w:szCs w:val="28"/>
        </w:rPr>
      </w:pPr>
      <w:r w:rsidRPr="005B54D8">
        <w:rPr>
          <w:b/>
          <w:bCs/>
          <w:sz w:val="28"/>
          <w:szCs w:val="28"/>
        </w:rPr>
        <w:t>6-</w:t>
      </w:r>
      <w:r>
        <w:rPr>
          <w:sz w:val="28"/>
          <w:szCs w:val="28"/>
        </w:rPr>
        <w:t xml:space="preserve"> </w:t>
      </w:r>
      <w:r w:rsidRPr="0054631A">
        <w:rPr>
          <w:sz w:val="28"/>
          <w:szCs w:val="28"/>
        </w:rPr>
        <w:t>Tiếp tục kiện toàn, củng cố tổ chức</w:t>
      </w:r>
      <w:r>
        <w:rPr>
          <w:sz w:val="28"/>
          <w:szCs w:val="28"/>
        </w:rPr>
        <w:t xml:space="preserve"> bộ máy ngành tài nguyên và môi trường từ cấp tỉnh đến cấp xã;</w:t>
      </w:r>
      <w:r w:rsidRPr="0054631A">
        <w:rPr>
          <w:sz w:val="28"/>
          <w:szCs w:val="28"/>
        </w:rPr>
        <w:t xml:space="preserve"> nâng cao năng lực, hiệu quả hoạt động bộ máy quản lý nhà nước; bồi dưỡng, nâng cao trình độ chuyên môn, nghiệp vụ, xây dựng đội ngũ cán bộ, đảng viên đủ mạnh để làm tốt công tác quản lý nhà nước về khoáng sản.</w:t>
      </w:r>
      <w:r>
        <w:rPr>
          <w:sz w:val="28"/>
          <w:szCs w:val="28"/>
        </w:rPr>
        <w:t xml:space="preserve"> </w:t>
      </w:r>
      <w:r w:rsidR="00E13267">
        <w:rPr>
          <w:sz w:val="28"/>
          <w:szCs w:val="28"/>
        </w:rPr>
        <w:t>T</w:t>
      </w:r>
      <w:r>
        <w:rPr>
          <w:sz w:val="28"/>
          <w:szCs w:val="28"/>
        </w:rPr>
        <w:t xml:space="preserve">ăng cường lực lượng cho ngành tài nguyên và môi trường, nhất là lực lượng cán bộ trực tiếp làm công tác thanh tra, giải quyết kiến nghị, khiếu nại trong lĩnh vực đất </w:t>
      </w:r>
      <w:proofErr w:type="gramStart"/>
      <w:r>
        <w:rPr>
          <w:sz w:val="28"/>
          <w:szCs w:val="28"/>
        </w:rPr>
        <w:t>đai</w:t>
      </w:r>
      <w:proofErr w:type="gramEnd"/>
      <w:r>
        <w:rPr>
          <w:sz w:val="28"/>
          <w:szCs w:val="28"/>
        </w:rPr>
        <w:t>, khoáng sản và bảo vệ môi trường.</w:t>
      </w:r>
    </w:p>
    <w:p w14:paraId="716B1949" w14:textId="77777777" w:rsidR="0054631A" w:rsidRPr="0054631A" w:rsidRDefault="0087295E" w:rsidP="00261B29">
      <w:pPr>
        <w:pStyle w:val="NormalWeb"/>
        <w:shd w:val="clear" w:color="auto" w:fill="FFFFFF"/>
        <w:spacing w:before="120" w:beforeAutospacing="0" w:after="0" w:afterAutospacing="0" w:line="264" w:lineRule="auto"/>
        <w:ind w:firstLine="709"/>
        <w:jc w:val="both"/>
        <w:rPr>
          <w:sz w:val="28"/>
          <w:szCs w:val="28"/>
        </w:rPr>
      </w:pPr>
      <w:r>
        <w:rPr>
          <w:rStyle w:val="Strong"/>
          <w:sz w:val="28"/>
          <w:szCs w:val="28"/>
        </w:rPr>
        <w:t>7-</w:t>
      </w:r>
      <w:r w:rsidR="0054631A" w:rsidRPr="0054631A">
        <w:rPr>
          <w:sz w:val="28"/>
          <w:szCs w:val="28"/>
        </w:rPr>
        <w:t> Tổ chức thực hiện</w:t>
      </w:r>
    </w:p>
    <w:p w14:paraId="34B5F158" w14:textId="77777777" w:rsidR="0041741D" w:rsidRDefault="0041741D" w:rsidP="00261B29">
      <w:pPr>
        <w:pStyle w:val="NormalWeb"/>
        <w:shd w:val="clear" w:color="auto" w:fill="FFFFFF"/>
        <w:spacing w:before="120" w:beforeAutospacing="0" w:after="0" w:afterAutospacing="0" w:line="264" w:lineRule="auto"/>
        <w:ind w:firstLine="709"/>
        <w:jc w:val="both"/>
        <w:rPr>
          <w:sz w:val="28"/>
          <w:szCs w:val="28"/>
        </w:rPr>
      </w:pPr>
      <w:r>
        <w:rPr>
          <w:sz w:val="28"/>
          <w:szCs w:val="28"/>
        </w:rPr>
        <w:t>- Các đồng chí Ủy viên Ban Thường vụ Tỉnh ủy, Ủy viên Ban Chấp hành Đảng bộ tỉnh có trách nhiệm chỉ đạo, đôn đốc và kiểm tra các đảng bộ, địa phương, đơn vị được phân công phụ trách triển khai thực hiện Chỉ thị.</w:t>
      </w:r>
    </w:p>
    <w:p w14:paraId="42F87F21"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 Các cấp ủy, tổ chức đảng, chính quyền tổ chức quán triệt và xây dựng chương trình, kế hoạch triển khai thực hiện nghiêm túc Chỉ thị; thường xuyên lãnh đạo, chỉ đạo, kiểm tra, giám sát, đôn đốc, đánh giá và báo cáo kết quả thực hiện.</w:t>
      </w:r>
    </w:p>
    <w:p w14:paraId="5231FDBD"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 Đảng đoàn Hội đồng nhân dân tỉnh lãnh đạo tăng cường giám sát việc thực hiện chủ trương của Đảng, chính sách, pháp luật của Nhà nước về quản lý, khai thác, sử dụng khoáng sản; phát huy vai trò của Hội đồng nhân dân tỉnh, Thường trực, các ban, tổ đại biểu và đại biểu Hội đồng nhân dân tỉnh trong giám sát thường xuyên, chuyên đề về khai thác, sử dụng khoáng sản.</w:t>
      </w:r>
    </w:p>
    <w:p w14:paraId="62E012F3"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lastRenderedPageBreak/>
        <w:t>- Ban cán sự đảng Ủy ban nhân dân tỉnh lãnh đạo Ủy ban nhân dân tỉnh xây dựng chương trình, kế hoạch thực hiện hiệu quả Chỉ thị; bố trí ngân sách bảo đảm cho công tác quản lý nhà nước về khoáng sản, bảo vệ khoáng sản chưa khai thác; thường xuyên theo dõi, đôn đốc, kiểm tra, sơ kết, tổng kết, định kỳ hằng năm báo cáo Ban Thường vụ Tỉnh ủy kết quả thực hiện.</w:t>
      </w:r>
    </w:p>
    <w:p w14:paraId="4943E592"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 Ban Tuyên giáo Tỉnh ủy chỉ đạo các cơ quan báo chí trong tỉnh phối hợp với cơ quan chức năng đẩy mạnh công tác tuyên truyền, phổ biến sâu rộng trong cán bộ, đảng viên và mọi tầng lớp nhân dân các chủ trương của Đảng, chính sách, pháp luật của Nhà nước về quản lý, khai thác, sử dụng khoáng sản.</w:t>
      </w:r>
    </w:p>
    <w:p w14:paraId="4CCADE17" w14:textId="77777777" w:rsidR="0054631A" w:rsidRP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 Mặt trận Tổ quốc Việt Nam tỉnh, các tổ chức chính trị - xã hội cấp tỉnh đẩy mạnh tuyên truyền, vận động đoàn viên, hội viên và các tầng lớp nhân dân tích cực tham gia hoạt động quản lý, bảo vệ khoáng sản và giám sát việc thực hiện Chỉ thị.</w:t>
      </w:r>
    </w:p>
    <w:p w14:paraId="1DB70035" w14:textId="77777777" w:rsidR="0054631A" w:rsidRDefault="0054631A" w:rsidP="00261B29">
      <w:pPr>
        <w:pStyle w:val="NormalWeb"/>
        <w:shd w:val="clear" w:color="auto" w:fill="FFFFFF"/>
        <w:spacing w:before="120" w:beforeAutospacing="0" w:after="0" w:afterAutospacing="0" w:line="264" w:lineRule="auto"/>
        <w:ind w:firstLine="709"/>
        <w:jc w:val="both"/>
        <w:rPr>
          <w:sz w:val="28"/>
          <w:szCs w:val="28"/>
        </w:rPr>
      </w:pPr>
      <w:r w:rsidRPr="0054631A">
        <w:rPr>
          <w:sz w:val="28"/>
          <w:szCs w:val="28"/>
        </w:rPr>
        <w:t>- Ủy ban Kiểm tra Tỉnh ủy chủ trì, phối hợp với các cơ quan liên quan tham mưu Ban Thường vụ Tỉnh ủy kiểm tra, giám sát việc lãnh đạo, chỉ đạo và tổ chức thực hiện Chỉ thị.</w:t>
      </w:r>
    </w:p>
    <w:p w14:paraId="108FC1A8" w14:textId="77777777" w:rsidR="0041741D" w:rsidRDefault="0041741D" w:rsidP="00261B29">
      <w:pPr>
        <w:pStyle w:val="NormalWeb"/>
        <w:shd w:val="clear" w:color="auto" w:fill="FFFFFF"/>
        <w:spacing w:before="120" w:beforeAutospacing="0" w:after="0" w:afterAutospacing="0" w:line="264" w:lineRule="auto"/>
        <w:ind w:firstLine="709"/>
        <w:jc w:val="both"/>
        <w:rPr>
          <w:sz w:val="28"/>
          <w:szCs w:val="28"/>
        </w:rPr>
      </w:pPr>
      <w:proofErr w:type="gramStart"/>
      <w:r>
        <w:rPr>
          <w:sz w:val="28"/>
          <w:szCs w:val="28"/>
        </w:rPr>
        <w:t>Chỉ thị này được phổ biến, quán triệt đến chi bộ và đảng viên trong Đảng bộ tỉnh để thực hiện.</w:t>
      </w:r>
      <w:proofErr w:type="gramEnd"/>
    </w:p>
    <w:p w14:paraId="7604F9AF" w14:textId="77777777" w:rsidR="00CC624A" w:rsidRPr="0054631A" w:rsidRDefault="00CC624A" w:rsidP="00CC624A">
      <w:pPr>
        <w:pStyle w:val="NormalWeb"/>
        <w:shd w:val="clear" w:color="auto" w:fill="FFFFFF"/>
        <w:spacing w:before="120" w:beforeAutospacing="0" w:after="0" w:afterAutospacing="0"/>
        <w:ind w:firstLine="709"/>
        <w:jc w:val="both"/>
        <w:rPr>
          <w:sz w:val="28"/>
          <w:szCs w:val="28"/>
        </w:rPr>
      </w:pPr>
    </w:p>
    <w:tbl>
      <w:tblPr>
        <w:tblW w:w="9131" w:type="dxa"/>
        <w:jc w:val="center"/>
        <w:tblLayout w:type="fixed"/>
        <w:tblLook w:val="0000" w:firstRow="0" w:lastRow="0" w:firstColumn="0" w:lastColumn="0" w:noHBand="0" w:noVBand="0"/>
      </w:tblPr>
      <w:tblGrid>
        <w:gridCol w:w="4962"/>
        <w:gridCol w:w="4169"/>
      </w:tblGrid>
      <w:tr w:rsidR="00CC624A" w:rsidRPr="00CC624A" w14:paraId="436628B9" w14:textId="77777777" w:rsidTr="00261B29">
        <w:trPr>
          <w:trHeight w:val="2174"/>
          <w:jc w:val="center"/>
        </w:trPr>
        <w:tc>
          <w:tcPr>
            <w:tcW w:w="4962" w:type="dxa"/>
            <w:tcBorders>
              <w:top w:val="nil"/>
              <w:left w:val="nil"/>
              <w:bottom w:val="nil"/>
              <w:right w:val="nil"/>
            </w:tcBorders>
            <w:shd w:val="clear" w:color="000000" w:fill="FFFFFF"/>
          </w:tcPr>
          <w:p w14:paraId="37EB9C7F" w14:textId="77777777" w:rsidR="00CC624A" w:rsidRPr="00CC624A" w:rsidRDefault="00CC624A" w:rsidP="00CC624A">
            <w:pPr>
              <w:autoSpaceDE w:val="0"/>
              <w:autoSpaceDN w:val="0"/>
              <w:adjustRightInd w:val="0"/>
              <w:spacing w:after="0" w:line="240" w:lineRule="auto"/>
              <w:rPr>
                <w:bCs/>
                <w:iCs/>
                <w:sz w:val="28"/>
                <w:szCs w:val="28"/>
                <w:lang w:val="vi-VN"/>
              </w:rPr>
            </w:pPr>
            <w:r w:rsidRPr="00CC624A">
              <w:rPr>
                <w:bCs/>
                <w:iCs/>
                <w:sz w:val="28"/>
                <w:szCs w:val="28"/>
                <w:u w:val="single"/>
                <w:lang w:val="vi-VN"/>
              </w:rPr>
              <w:t>Nơi nhận</w:t>
            </w:r>
            <w:r w:rsidRPr="00CC624A">
              <w:rPr>
                <w:bCs/>
                <w:iCs/>
                <w:sz w:val="28"/>
                <w:szCs w:val="28"/>
                <w:lang w:val="vi-VN"/>
              </w:rPr>
              <w:t>:</w:t>
            </w:r>
            <w:r w:rsidRPr="00CC624A">
              <w:rPr>
                <w:color w:val="000000"/>
                <w:sz w:val="28"/>
                <w:szCs w:val="28"/>
                <w:lang w:val="vi-VN"/>
              </w:rPr>
              <w:t xml:space="preserve">                                                         </w:t>
            </w:r>
          </w:p>
          <w:p w14:paraId="64DF7998" w14:textId="77777777" w:rsidR="00CC624A" w:rsidRPr="00CC624A" w:rsidRDefault="00CC624A" w:rsidP="00CC624A">
            <w:pPr>
              <w:autoSpaceDE w:val="0"/>
              <w:autoSpaceDN w:val="0"/>
              <w:adjustRightInd w:val="0"/>
              <w:spacing w:after="0" w:line="240" w:lineRule="auto"/>
              <w:jc w:val="both"/>
              <w:rPr>
                <w:color w:val="000000"/>
                <w:szCs w:val="24"/>
                <w:lang w:val="vi-VN"/>
              </w:rPr>
            </w:pPr>
            <w:r w:rsidRPr="00CC624A">
              <w:rPr>
                <w:color w:val="000000"/>
                <w:szCs w:val="24"/>
                <w:lang w:val="vi-VN"/>
              </w:rPr>
              <w:t>- Văn phòng Trung ương Đảng (Báo cáo),</w:t>
            </w:r>
          </w:p>
          <w:p w14:paraId="6C48A4AB" w14:textId="77777777" w:rsidR="00CC624A" w:rsidRPr="00CC624A" w:rsidRDefault="00CC624A" w:rsidP="00CC624A">
            <w:pPr>
              <w:autoSpaceDE w:val="0"/>
              <w:autoSpaceDN w:val="0"/>
              <w:adjustRightInd w:val="0"/>
              <w:spacing w:after="0" w:line="240" w:lineRule="auto"/>
              <w:jc w:val="both"/>
              <w:rPr>
                <w:color w:val="000000"/>
                <w:szCs w:val="24"/>
                <w:lang w:val="vi-VN"/>
              </w:rPr>
            </w:pPr>
            <w:r w:rsidRPr="00CC624A">
              <w:rPr>
                <w:color w:val="000000"/>
                <w:szCs w:val="24"/>
                <w:lang w:val="vi-VN"/>
              </w:rPr>
              <w:t>- Ban cán sự đảng Bộ TN&amp;MT (Báo cáo),</w:t>
            </w:r>
          </w:p>
          <w:p w14:paraId="39E215E7" w14:textId="77777777" w:rsidR="00CC624A" w:rsidRPr="00CC624A" w:rsidRDefault="00CC624A" w:rsidP="00CC624A">
            <w:pPr>
              <w:spacing w:after="0" w:line="240" w:lineRule="auto"/>
              <w:jc w:val="both"/>
              <w:rPr>
                <w:color w:val="000000"/>
                <w:szCs w:val="24"/>
                <w:lang w:val="vi-VN"/>
              </w:rPr>
            </w:pPr>
            <w:r w:rsidRPr="00CC624A">
              <w:rPr>
                <w:color w:val="000000"/>
                <w:szCs w:val="24"/>
                <w:lang w:val="vi-VN"/>
              </w:rPr>
              <w:t>- Các ban cán sự đảng, đảng đoàn,</w:t>
            </w:r>
          </w:p>
          <w:p w14:paraId="316F1A68" w14:textId="77777777" w:rsidR="00CC624A" w:rsidRPr="00CC624A" w:rsidRDefault="00CC624A" w:rsidP="00CC624A">
            <w:pPr>
              <w:spacing w:after="0" w:line="240" w:lineRule="auto"/>
              <w:jc w:val="both"/>
              <w:rPr>
                <w:color w:val="000000"/>
                <w:szCs w:val="24"/>
                <w:lang w:val="vi-VN"/>
              </w:rPr>
            </w:pPr>
            <w:r w:rsidRPr="00CC624A">
              <w:rPr>
                <w:color w:val="000000"/>
                <w:szCs w:val="24"/>
                <w:lang w:val="vi-VN"/>
              </w:rPr>
              <w:t>- Các sở, cơ quan, ban, ngành tỉnh,</w:t>
            </w:r>
          </w:p>
          <w:p w14:paraId="0E54D94E" w14:textId="77777777" w:rsidR="00CC624A" w:rsidRPr="00CC624A" w:rsidRDefault="00CC624A" w:rsidP="00CC624A">
            <w:pPr>
              <w:spacing w:after="0" w:line="240" w:lineRule="auto"/>
              <w:jc w:val="both"/>
              <w:rPr>
                <w:color w:val="000000"/>
                <w:spacing w:val="-10"/>
                <w:szCs w:val="24"/>
                <w:lang w:val="vi-VN"/>
              </w:rPr>
            </w:pPr>
            <w:r w:rsidRPr="00CC624A">
              <w:rPr>
                <w:color w:val="000000"/>
                <w:spacing w:val="-10"/>
                <w:szCs w:val="24"/>
                <w:lang w:val="vi-VN"/>
              </w:rPr>
              <w:t>- Ủy ban MTTQ và các đoàn thể chính trị - xã hội tỉnh,</w:t>
            </w:r>
          </w:p>
          <w:p w14:paraId="682150C9" w14:textId="77777777" w:rsidR="00CC624A" w:rsidRPr="00261B29" w:rsidRDefault="00CC624A" w:rsidP="00CC624A">
            <w:pPr>
              <w:spacing w:after="0" w:line="240" w:lineRule="auto"/>
              <w:jc w:val="both"/>
              <w:rPr>
                <w:color w:val="000000"/>
                <w:spacing w:val="-4"/>
                <w:szCs w:val="24"/>
                <w:lang w:val="vi-VN"/>
              </w:rPr>
            </w:pPr>
            <w:r w:rsidRPr="00261B29">
              <w:rPr>
                <w:color w:val="000000"/>
                <w:spacing w:val="-4"/>
                <w:szCs w:val="24"/>
                <w:lang w:val="vi-VN"/>
              </w:rPr>
              <w:t>- Các huyện ủy,</w:t>
            </w:r>
            <w:r w:rsidR="00937DD6" w:rsidRPr="00261B29">
              <w:rPr>
                <w:color w:val="000000"/>
                <w:spacing w:val="-4"/>
                <w:szCs w:val="24"/>
              </w:rPr>
              <w:t xml:space="preserve"> thị ủy,</w:t>
            </w:r>
            <w:r w:rsidRPr="00261B29">
              <w:rPr>
                <w:color w:val="000000"/>
                <w:spacing w:val="-4"/>
                <w:szCs w:val="24"/>
                <w:lang w:val="vi-VN"/>
              </w:rPr>
              <w:t xml:space="preserve"> thành ủy, đảng ủy trực thuộc,</w:t>
            </w:r>
          </w:p>
          <w:p w14:paraId="61252BD9" w14:textId="77777777" w:rsidR="00CC624A" w:rsidRPr="00CC624A" w:rsidRDefault="00CC624A" w:rsidP="00CC624A">
            <w:pPr>
              <w:spacing w:after="0" w:line="240" w:lineRule="auto"/>
              <w:jc w:val="both"/>
              <w:rPr>
                <w:color w:val="000000"/>
                <w:spacing w:val="-2"/>
                <w:szCs w:val="24"/>
                <w:lang w:val="vi-VN"/>
              </w:rPr>
            </w:pPr>
            <w:r w:rsidRPr="00CC624A">
              <w:rPr>
                <w:color w:val="000000"/>
                <w:spacing w:val="-2"/>
                <w:szCs w:val="24"/>
                <w:lang w:val="vi-VN"/>
              </w:rPr>
              <w:t>- Các đồng chí Tỉnh ủy viên,</w:t>
            </w:r>
          </w:p>
          <w:p w14:paraId="6A101532" w14:textId="77777777" w:rsidR="00CC624A" w:rsidRPr="00CC624A" w:rsidRDefault="00CC624A" w:rsidP="00CC624A">
            <w:pPr>
              <w:autoSpaceDE w:val="0"/>
              <w:autoSpaceDN w:val="0"/>
              <w:adjustRightInd w:val="0"/>
              <w:spacing w:after="0" w:line="240" w:lineRule="auto"/>
              <w:rPr>
                <w:szCs w:val="24"/>
                <w:lang/>
              </w:rPr>
            </w:pPr>
            <w:r w:rsidRPr="00CC624A">
              <w:rPr>
                <w:szCs w:val="24"/>
                <w:lang/>
              </w:rPr>
              <w:t>- VPTU: + LĐVP,</w:t>
            </w:r>
          </w:p>
          <w:p w14:paraId="060A188D" w14:textId="77777777" w:rsidR="00CC624A" w:rsidRPr="00CC624A" w:rsidRDefault="00CC624A" w:rsidP="00CC624A">
            <w:pPr>
              <w:autoSpaceDE w:val="0"/>
              <w:autoSpaceDN w:val="0"/>
              <w:adjustRightInd w:val="0"/>
              <w:spacing w:after="0" w:line="240" w:lineRule="auto"/>
              <w:rPr>
                <w:szCs w:val="24"/>
                <w:lang/>
              </w:rPr>
            </w:pPr>
            <w:r w:rsidRPr="00CC624A">
              <w:rPr>
                <w:szCs w:val="24"/>
                <w:lang/>
              </w:rPr>
              <w:t xml:space="preserve">               + Phòng TH, KT-XH,</w:t>
            </w:r>
          </w:p>
          <w:p w14:paraId="4C5C9697" w14:textId="77777777" w:rsidR="00CC624A" w:rsidRPr="00CC624A" w:rsidRDefault="00CC624A" w:rsidP="00CC624A">
            <w:pPr>
              <w:autoSpaceDE w:val="0"/>
              <w:autoSpaceDN w:val="0"/>
              <w:adjustRightInd w:val="0"/>
              <w:spacing w:after="0" w:line="240" w:lineRule="auto"/>
              <w:rPr>
                <w:rFonts w:ascii="Calibri" w:hAnsi="Calibri" w:cs="Calibri"/>
                <w:sz w:val="28"/>
                <w:szCs w:val="28"/>
                <w:lang/>
              </w:rPr>
            </w:pPr>
            <w:r w:rsidRPr="00CC624A">
              <w:rPr>
                <w:szCs w:val="24"/>
                <w:lang/>
              </w:rPr>
              <w:t xml:space="preserve">               + L</w:t>
            </w:r>
            <w:r w:rsidRPr="00CC624A">
              <w:rPr>
                <w:szCs w:val="24"/>
                <w:lang w:val="vi-VN"/>
              </w:rPr>
              <w:t>ưu: VT.</w:t>
            </w:r>
          </w:p>
        </w:tc>
        <w:tc>
          <w:tcPr>
            <w:tcW w:w="4169" w:type="dxa"/>
            <w:tcBorders>
              <w:top w:val="nil"/>
              <w:left w:val="nil"/>
              <w:bottom w:val="nil"/>
              <w:right w:val="nil"/>
            </w:tcBorders>
            <w:shd w:val="clear" w:color="000000" w:fill="FFFFFF"/>
          </w:tcPr>
          <w:p w14:paraId="1709EFA2" w14:textId="77777777" w:rsidR="00CC624A" w:rsidRPr="00CC624A" w:rsidRDefault="00CC624A" w:rsidP="00CC624A">
            <w:pPr>
              <w:spacing w:after="0" w:line="240" w:lineRule="auto"/>
              <w:jc w:val="center"/>
              <w:rPr>
                <w:b/>
                <w:sz w:val="28"/>
                <w:szCs w:val="28"/>
              </w:rPr>
            </w:pPr>
            <w:r w:rsidRPr="00CC624A">
              <w:rPr>
                <w:b/>
                <w:sz w:val="28"/>
                <w:szCs w:val="28"/>
              </w:rPr>
              <w:t>T/M BAN THƯỜNG VỤ</w:t>
            </w:r>
          </w:p>
          <w:p w14:paraId="733AC5FB" w14:textId="77777777" w:rsidR="00CC624A" w:rsidRPr="00CC624A" w:rsidRDefault="00CC624A" w:rsidP="00CC624A">
            <w:pPr>
              <w:spacing w:after="0" w:line="240" w:lineRule="auto"/>
              <w:jc w:val="center"/>
              <w:rPr>
                <w:sz w:val="28"/>
                <w:szCs w:val="28"/>
              </w:rPr>
            </w:pPr>
          </w:p>
          <w:p w14:paraId="30CA2DDD" w14:textId="77777777" w:rsidR="00CC624A" w:rsidRPr="00CC624A" w:rsidRDefault="00CC624A" w:rsidP="00CC624A">
            <w:pPr>
              <w:spacing w:after="0" w:line="240" w:lineRule="auto"/>
              <w:jc w:val="center"/>
              <w:rPr>
                <w:sz w:val="28"/>
                <w:szCs w:val="28"/>
              </w:rPr>
            </w:pPr>
          </w:p>
          <w:p w14:paraId="574E3E8A" w14:textId="77777777" w:rsidR="00CC624A" w:rsidRPr="00CC624A" w:rsidRDefault="00CC624A" w:rsidP="00CC624A">
            <w:pPr>
              <w:spacing w:after="0" w:line="240" w:lineRule="auto"/>
              <w:jc w:val="center"/>
              <w:rPr>
                <w:b/>
                <w:sz w:val="28"/>
                <w:szCs w:val="28"/>
              </w:rPr>
            </w:pPr>
          </w:p>
          <w:p w14:paraId="6FC22A5E" w14:textId="77777777" w:rsidR="00CC624A" w:rsidRPr="00CC624A" w:rsidRDefault="00CC624A" w:rsidP="00CC624A">
            <w:pPr>
              <w:spacing w:after="0" w:line="240" w:lineRule="auto"/>
              <w:jc w:val="center"/>
              <w:rPr>
                <w:b/>
                <w:sz w:val="28"/>
                <w:szCs w:val="28"/>
              </w:rPr>
            </w:pPr>
          </w:p>
          <w:p w14:paraId="06E04A1E" w14:textId="77777777" w:rsidR="00CC624A" w:rsidRPr="00CC624A" w:rsidRDefault="00CC624A" w:rsidP="00CC624A">
            <w:pPr>
              <w:spacing w:after="0" w:line="240" w:lineRule="auto"/>
              <w:jc w:val="center"/>
              <w:rPr>
                <w:b/>
                <w:sz w:val="28"/>
                <w:szCs w:val="28"/>
              </w:rPr>
            </w:pPr>
          </w:p>
          <w:p w14:paraId="65881F03" w14:textId="77777777" w:rsidR="00CC624A" w:rsidRPr="00CC624A" w:rsidRDefault="00CC624A" w:rsidP="00CC624A">
            <w:pPr>
              <w:spacing w:after="0" w:line="240" w:lineRule="auto"/>
              <w:jc w:val="center"/>
              <w:rPr>
                <w:b/>
                <w:sz w:val="28"/>
                <w:szCs w:val="28"/>
              </w:rPr>
            </w:pPr>
          </w:p>
          <w:p w14:paraId="321AA62F" w14:textId="77777777" w:rsidR="00CC624A" w:rsidRPr="00CC624A" w:rsidRDefault="00CC624A" w:rsidP="00CC624A">
            <w:pPr>
              <w:autoSpaceDE w:val="0"/>
              <w:autoSpaceDN w:val="0"/>
              <w:adjustRightInd w:val="0"/>
              <w:spacing w:after="0" w:line="240" w:lineRule="auto"/>
              <w:jc w:val="center"/>
              <w:rPr>
                <w:rFonts w:ascii="Calibri" w:hAnsi="Calibri" w:cs="Calibri"/>
                <w:sz w:val="28"/>
                <w:szCs w:val="28"/>
                <w:lang/>
              </w:rPr>
            </w:pPr>
          </w:p>
        </w:tc>
      </w:tr>
    </w:tbl>
    <w:p w14:paraId="41351E45" w14:textId="77777777" w:rsidR="00FF1F15" w:rsidRDefault="00FF1F15"/>
    <w:sectPr w:rsidR="00FF1F15" w:rsidSect="00261B29">
      <w:headerReference w:type="default" r:id="rId7"/>
      <w:pgSz w:w="11907" w:h="16840" w:code="9"/>
      <w:pgMar w:top="1134" w:right="1021" w:bottom="1134"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30C84" w14:textId="77777777" w:rsidR="00960891" w:rsidRDefault="00960891" w:rsidP="00261B29">
      <w:pPr>
        <w:spacing w:after="0" w:line="240" w:lineRule="auto"/>
      </w:pPr>
      <w:r>
        <w:separator/>
      </w:r>
    </w:p>
  </w:endnote>
  <w:endnote w:type="continuationSeparator" w:id="0">
    <w:p w14:paraId="2E2E9010" w14:textId="77777777" w:rsidR="00960891" w:rsidRDefault="00960891" w:rsidP="0026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F12C7" w14:textId="77777777" w:rsidR="00960891" w:rsidRDefault="00960891" w:rsidP="00261B29">
      <w:pPr>
        <w:spacing w:after="0" w:line="240" w:lineRule="auto"/>
      </w:pPr>
      <w:r>
        <w:separator/>
      </w:r>
    </w:p>
  </w:footnote>
  <w:footnote w:type="continuationSeparator" w:id="0">
    <w:p w14:paraId="32FC3C63" w14:textId="77777777" w:rsidR="00960891" w:rsidRDefault="00960891" w:rsidP="0026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97894"/>
      <w:docPartObj>
        <w:docPartGallery w:val="Page Numbers (Top of Page)"/>
        <w:docPartUnique/>
      </w:docPartObj>
    </w:sdtPr>
    <w:sdtEndPr>
      <w:rPr>
        <w:noProof/>
      </w:rPr>
    </w:sdtEndPr>
    <w:sdtContent>
      <w:p w14:paraId="0C46D43D" w14:textId="77777777" w:rsidR="00261B29" w:rsidRDefault="00261B29">
        <w:pPr>
          <w:pStyle w:val="Header"/>
          <w:jc w:val="center"/>
        </w:pPr>
        <w:r>
          <w:fldChar w:fldCharType="begin"/>
        </w:r>
        <w:r>
          <w:instrText xml:space="preserve"> PAGE   \* MERGEFORMAT </w:instrText>
        </w:r>
        <w:r>
          <w:fldChar w:fldCharType="separate"/>
        </w:r>
        <w:r w:rsidR="004503DC">
          <w:rPr>
            <w:noProof/>
          </w:rPr>
          <w:t>1</w:t>
        </w:r>
        <w:r>
          <w:rPr>
            <w:noProof/>
          </w:rPr>
          <w:fldChar w:fldCharType="end"/>
        </w:r>
      </w:p>
    </w:sdtContent>
  </w:sdt>
  <w:p w14:paraId="1448E528" w14:textId="77777777" w:rsidR="00261B29" w:rsidRDefault="0026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1A"/>
    <w:rsid w:val="000B5F0B"/>
    <w:rsid w:val="00261B29"/>
    <w:rsid w:val="00306630"/>
    <w:rsid w:val="003068D4"/>
    <w:rsid w:val="003801C1"/>
    <w:rsid w:val="0041741D"/>
    <w:rsid w:val="00420736"/>
    <w:rsid w:val="004503DC"/>
    <w:rsid w:val="0054631A"/>
    <w:rsid w:val="005B54D8"/>
    <w:rsid w:val="006502E4"/>
    <w:rsid w:val="006823E9"/>
    <w:rsid w:val="00722BC8"/>
    <w:rsid w:val="00804912"/>
    <w:rsid w:val="0087295E"/>
    <w:rsid w:val="00937DD6"/>
    <w:rsid w:val="00960891"/>
    <w:rsid w:val="00986F25"/>
    <w:rsid w:val="009A766D"/>
    <w:rsid w:val="00AB7B0D"/>
    <w:rsid w:val="00CC624A"/>
    <w:rsid w:val="00E13267"/>
    <w:rsid w:val="00EB2F5D"/>
    <w:rsid w:val="00FF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3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4631A"/>
    <w:rPr>
      <w:b/>
      <w:bCs/>
    </w:rPr>
  </w:style>
  <w:style w:type="paragraph" w:styleId="Header">
    <w:name w:val="header"/>
    <w:basedOn w:val="Normal"/>
    <w:link w:val="HeaderChar"/>
    <w:uiPriority w:val="99"/>
    <w:unhideWhenUsed/>
    <w:rsid w:val="0026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29"/>
  </w:style>
  <w:style w:type="paragraph" w:styleId="Footer">
    <w:name w:val="footer"/>
    <w:basedOn w:val="Normal"/>
    <w:link w:val="FooterChar"/>
    <w:uiPriority w:val="99"/>
    <w:unhideWhenUsed/>
    <w:rsid w:val="0026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3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4631A"/>
    <w:rPr>
      <w:b/>
      <w:bCs/>
    </w:rPr>
  </w:style>
  <w:style w:type="paragraph" w:styleId="Header">
    <w:name w:val="header"/>
    <w:basedOn w:val="Normal"/>
    <w:link w:val="HeaderChar"/>
    <w:uiPriority w:val="99"/>
    <w:unhideWhenUsed/>
    <w:rsid w:val="0026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29"/>
  </w:style>
  <w:style w:type="paragraph" w:styleId="Footer">
    <w:name w:val="footer"/>
    <w:basedOn w:val="Normal"/>
    <w:link w:val="FooterChar"/>
    <w:uiPriority w:val="99"/>
    <w:unhideWhenUsed/>
    <w:rsid w:val="0026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HB</cp:lastModifiedBy>
  <cp:revision>2</cp:revision>
  <dcterms:created xsi:type="dcterms:W3CDTF">2024-05-13T02:35:00Z</dcterms:created>
  <dcterms:modified xsi:type="dcterms:W3CDTF">2024-05-13T02:35:00Z</dcterms:modified>
</cp:coreProperties>
</file>